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BF7E2" w14:textId="77777777" w:rsidR="002E2B7C" w:rsidRDefault="002E2B7C" w:rsidP="002E2B7C">
      <w:pPr>
        <w:spacing w:after="0" w:line="240" w:lineRule="auto"/>
        <w:jc w:val="both"/>
        <w:rPr>
          <w:rFonts w:ascii="Arial" w:hAnsi="Arial" w:cs="Arial"/>
          <w:color w:val="808080"/>
          <w:sz w:val="20"/>
          <w:szCs w:val="20"/>
        </w:rPr>
      </w:pPr>
      <w:r w:rsidRPr="002F6482">
        <w:rPr>
          <w:rFonts w:cs="Arial"/>
          <w:noProof/>
          <w:color w:val="808080"/>
          <w:sz w:val="22"/>
          <w:szCs w:val="22"/>
        </w:rPr>
        <w:drawing>
          <wp:anchor distT="0" distB="0" distL="114300" distR="114300" simplePos="0" relativeHeight="251659264" behindDoc="0" locked="0" layoutInCell="1" allowOverlap="1" wp14:anchorId="2B89B42C" wp14:editId="5CD1BBBF">
            <wp:simplePos x="0" y="0"/>
            <wp:positionH relativeFrom="column">
              <wp:posOffset>3708400</wp:posOffset>
            </wp:positionH>
            <wp:positionV relativeFrom="paragraph">
              <wp:posOffset>0</wp:posOffset>
            </wp:positionV>
            <wp:extent cx="2037080" cy="982980"/>
            <wp:effectExtent l="0" t="0" r="0" b="0"/>
            <wp:wrapSquare wrapText="bothSides"/>
            <wp:docPr id="1016181344" name="Picture 2" descr="A red and white chip with a bell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81344" name="Picture 2" descr="A red and white chip with a bell on i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7080" cy="982980"/>
                    </a:xfrm>
                    <a:prstGeom prst="rect">
                      <a:avLst/>
                    </a:prstGeom>
                  </pic:spPr>
                </pic:pic>
              </a:graphicData>
            </a:graphic>
            <wp14:sizeRelH relativeFrom="page">
              <wp14:pctWidth>0</wp14:pctWidth>
            </wp14:sizeRelH>
            <wp14:sizeRelV relativeFrom="page">
              <wp14:pctHeight>0</wp14:pctHeight>
            </wp14:sizeRelV>
          </wp:anchor>
        </w:drawing>
      </w:r>
    </w:p>
    <w:p w14:paraId="6F71466E" w14:textId="77777777" w:rsidR="002E2B7C" w:rsidRDefault="002E2B7C" w:rsidP="002E2B7C">
      <w:pPr>
        <w:spacing w:after="0" w:line="240" w:lineRule="auto"/>
        <w:jc w:val="both"/>
        <w:rPr>
          <w:rFonts w:ascii="Arial" w:hAnsi="Arial" w:cs="Arial"/>
          <w:color w:val="808080"/>
          <w:sz w:val="20"/>
          <w:szCs w:val="20"/>
        </w:rPr>
      </w:pPr>
    </w:p>
    <w:p w14:paraId="67A7E60A" w14:textId="77777777" w:rsidR="002E2B7C" w:rsidRPr="00D513AB" w:rsidRDefault="002E2B7C" w:rsidP="002E2B7C">
      <w:pPr>
        <w:spacing w:after="0" w:line="240" w:lineRule="auto"/>
        <w:jc w:val="both"/>
        <w:rPr>
          <w:rFonts w:ascii="Arial" w:hAnsi="Arial" w:cs="Arial"/>
          <w:color w:val="808080"/>
          <w:sz w:val="20"/>
          <w:szCs w:val="20"/>
        </w:rPr>
      </w:pPr>
      <w:r w:rsidRPr="00D513AB">
        <w:rPr>
          <w:rFonts w:ascii="Arial" w:hAnsi="Arial" w:cs="Arial"/>
          <w:color w:val="808080"/>
          <w:sz w:val="20"/>
          <w:szCs w:val="20"/>
        </w:rPr>
        <w:t xml:space="preserve">PRESS RELEASE </w:t>
      </w:r>
    </w:p>
    <w:p w14:paraId="2F31060B" w14:textId="723BD194" w:rsidR="002E2B7C" w:rsidRPr="00D513AB" w:rsidRDefault="40479663" w:rsidP="002E2B7C">
      <w:pPr>
        <w:spacing w:after="0" w:line="240" w:lineRule="auto"/>
        <w:jc w:val="both"/>
        <w:rPr>
          <w:rFonts w:ascii="Arial" w:hAnsi="Arial" w:cs="Arial"/>
          <w:color w:val="808080"/>
          <w:sz w:val="20"/>
          <w:szCs w:val="20"/>
        </w:rPr>
      </w:pPr>
      <w:r w:rsidRPr="1F6E093F">
        <w:rPr>
          <w:rFonts w:ascii="Arial" w:hAnsi="Arial" w:cs="Arial"/>
          <w:color w:val="808080" w:themeColor="background1" w:themeShade="80"/>
          <w:sz w:val="20"/>
          <w:szCs w:val="20"/>
        </w:rPr>
        <w:t>November 10</w:t>
      </w:r>
      <w:r w:rsidR="002E2B7C" w:rsidRPr="1F6E093F">
        <w:rPr>
          <w:rFonts w:ascii="Arial" w:hAnsi="Arial" w:cs="Arial"/>
          <w:color w:val="808080" w:themeColor="background1" w:themeShade="80"/>
          <w:sz w:val="20"/>
          <w:szCs w:val="20"/>
        </w:rPr>
        <w:t>, 202</w:t>
      </w:r>
      <w:r w:rsidR="0D2FFFC0" w:rsidRPr="1F6E093F">
        <w:rPr>
          <w:rFonts w:ascii="Arial" w:hAnsi="Arial" w:cs="Arial"/>
          <w:color w:val="808080" w:themeColor="background1" w:themeShade="80"/>
          <w:sz w:val="20"/>
          <w:szCs w:val="20"/>
        </w:rPr>
        <w:t>5</w:t>
      </w:r>
      <w:r w:rsidR="002E2B7C" w:rsidRPr="1F6E093F">
        <w:rPr>
          <w:rFonts w:ascii="Arial" w:hAnsi="Arial" w:cs="Arial"/>
          <w:color w:val="808080" w:themeColor="background1" w:themeShade="80"/>
          <w:sz w:val="20"/>
          <w:szCs w:val="20"/>
        </w:rPr>
        <w:t xml:space="preserve"> at </w:t>
      </w:r>
      <w:r w:rsidR="2AA951E1" w:rsidRPr="1F6E093F">
        <w:rPr>
          <w:rFonts w:ascii="Arial" w:hAnsi="Arial" w:cs="Arial"/>
          <w:color w:val="808080" w:themeColor="background1" w:themeShade="80"/>
          <w:sz w:val="20"/>
          <w:szCs w:val="20"/>
        </w:rPr>
        <w:t>12:00</w:t>
      </w:r>
      <w:r w:rsidR="002E2B7C" w:rsidRPr="1F6E093F">
        <w:rPr>
          <w:rFonts w:ascii="Arial" w:hAnsi="Arial" w:cs="Arial"/>
          <w:color w:val="808080" w:themeColor="background1" w:themeShade="80"/>
          <w:sz w:val="20"/>
          <w:szCs w:val="20"/>
        </w:rPr>
        <w:t xml:space="preserve"> </w:t>
      </w:r>
      <w:r w:rsidR="45FBD326" w:rsidRPr="1F6E093F">
        <w:rPr>
          <w:rFonts w:ascii="Arial" w:hAnsi="Arial" w:cs="Arial"/>
          <w:color w:val="808080" w:themeColor="background1" w:themeShade="80"/>
          <w:sz w:val="20"/>
          <w:szCs w:val="20"/>
        </w:rPr>
        <w:t>P</w:t>
      </w:r>
      <w:r w:rsidR="002E2B7C" w:rsidRPr="1F6E093F">
        <w:rPr>
          <w:rFonts w:ascii="Arial" w:hAnsi="Arial" w:cs="Arial"/>
          <w:color w:val="808080" w:themeColor="background1" w:themeShade="80"/>
          <w:sz w:val="20"/>
          <w:szCs w:val="20"/>
        </w:rPr>
        <w:t xml:space="preserve">M ET </w:t>
      </w:r>
    </w:p>
    <w:p w14:paraId="2D531BB2" w14:textId="184CB6BD" w:rsidR="002E2B7C" w:rsidRDefault="002E2B7C" w:rsidP="281F261E">
      <w:pPr>
        <w:spacing w:after="0" w:line="240" w:lineRule="auto"/>
        <w:jc w:val="both"/>
        <w:rPr>
          <w:rFonts w:cs="Arial"/>
          <w:color w:val="808080" w:themeColor="background1" w:themeShade="80"/>
          <w:kern w:val="0"/>
          <w:sz w:val="22"/>
          <w:szCs w:val="22"/>
          <w14:ligatures w14:val="none"/>
        </w:rPr>
      </w:pPr>
      <w:r w:rsidRPr="281F261E">
        <w:rPr>
          <w:rFonts w:cs="Arial"/>
          <w:color w:val="808080" w:themeColor="background1" w:themeShade="80"/>
          <w:sz w:val="22"/>
          <w:szCs w:val="22"/>
        </w:rPr>
        <w:t xml:space="preserve">                                 </w:t>
      </w:r>
    </w:p>
    <w:p w14:paraId="685A3608" w14:textId="77777777" w:rsidR="002E2B7C" w:rsidRPr="0053173B" w:rsidRDefault="002E2B7C" w:rsidP="002E2B7C">
      <w:pPr>
        <w:spacing w:after="0" w:line="240" w:lineRule="auto"/>
        <w:jc w:val="both"/>
        <w:rPr>
          <w:rStyle w:val="CommentReference"/>
          <w:rFonts w:cs="Arial"/>
          <w:color w:val="808080"/>
          <w:sz w:val="22"/>
          <w:szCs w:val="22"/>
        </w:rPr>
      </w:pPr>
    </w:p>
    <w:p w14:paraId="1EB0E612" w14:textId="77777777" w:rsidR="00A95A6D" w:rsidRDefault="00A95A6D" w:rsidP="00F256FE">
      <w:pPr>
        <w:spacing w:after="0" w:line="240" w:lineRule="auto"/>
        <w:jc w:val="center"/>
        <w:rPr>
          <w:rFonts w:ascii="Arial" w:eastAsia="Arial" w:hAnsi="Arial" w:cs="Arial"/>
          <w:b/>
          <w:bCs/>
          <w:color w:val="000000" w:themeColor="text1"/>
          <w:sz w:val="28"/>
          <w:szCs w:val="28"/>
        </w:rPr>
      </w:pPr>
    </w:p>
    <w:p w14:paraId="67D7BDDA" w14:textId="5F9438FC" w:rsidR="002E2B7C" w:rsidRDefault="1427CD1D" w:rsidP="00F256FE">
      <w:pPr>
        <w:spacing w:after="0" w:line="240" w:lineRule="auto"/>
        <w:jc w:val="center"/>
        <w:rPr>
          <w:rFonts w:ascii="Arial" w:eastAsia="Arial" w:hAnsi="Arial" w:cs="Arial"/>
          <w:b/>
          <w:bCs/>
          <w:sz w:val="28"/>
          <w:szCs w:val="28"/>
        </w:rPr>
      </w:pPr>
      <w:r w:rsidRPr="087502AA">
        <w:rPr>
          <w:rFonts w:ascii="Arial" w:eastAsia="Arial" w:hAnsi="Arial" w:cs="Arial"/>
          <w:b/>
          <w:bCs/>
          <w:color w:val="000000" w:themeColor="text1"/>
          <w:sz w:val="28"/>
          <w:szCs w:val="28"/>
        </w:rPr>
        <w:t>Louisiana Gaming Control Board’s</w:t>
      </w:r>
      <w:r w:rsidR="55F3780B" w:rsidRPr="087502AA">
        <w:rPr>
          <w:rFonts w:ascii="Arial" w:eastAsia="Arial" w:hAnsi="Arial" w:cs="Arial"/>
          <w:b/>
          <w:bCs/>
          <w:color w:val="000000" w:themeColor="text1"/>
          <w:sz w:val="28"/>
          <w:szCs w:val="28"/>
        </w:rPr>
        <w:t xml:space="preserve"> </w:t>
      </w:r>
      <w:r w:rsidR="53800F72" w:rsidRPr="087502AA">
        <w:rPr>
          <w:rFonts w:ascii="Arial" w:eastAsia="Arial" w:hAnsi="Arial" w:cs="Arial"/>
          <w:b/>
          <w:bCs/>
          <w:color w:val="000000" w:themeColor="text1"/>
          <w:sz w:val="28"/>
          <w:szCs w:val="28"/>
        </w:rPr>
        <w:t>Christopher Hebert</w:t>
      </w:r>
      <w:r w:rsidR="55F3780B" w:rsidRPr="087502AA">
        <w:rPr>
          <w:rFonts w:ascii="Arial" w:eastAsia="Arial" w:hAnsi="Arial" w:cs="Arial"/>
          <w:b/>
          <w:bCs/>
          <w:color w:val="000000" w:themeColor="text1"/>
          <w:sz w:val="28"/>
          <w:szCs w:val="28"/>
        </w:rPr>
        <w:t xml:space="preserve"> </w:t>
      </w:r>
      <w:r w:rsidR="002E2B7C" w:rsidRPr="087502AA">
        <w:rPr>
          <w:rFonts w:ascii="Arial" w:eastAsia="Arial" w:hAnsi="Arial" w:cs="Arial"/>
          <w:b/>
          <w:bCs/>
          <w:sz w:val="28"/>
          <w:szCs w:val="28"/>
        </w:rPr>
        <w:t>is the 202</w:t>
      </w:r>
      <w:r w:rsidR="52288055" w:rsidRPr="087502AA">
        <w:rPr>
          <w:rFonts w:ascii="Arial" w:eastAsia="Arial" w:hAnsi="Arial" w:cs="Arial"/>
          <w:b/>
          <w:bCs/>
          <w:sz w:val="28"/>
          <w:szCs w:val="28"/>
        </w:rPr>
        <w:t>5</w:t>
      </w:r>
      <w:r w:rsidR="002E2B7C" w:rsidRPr="087502AA">
        <w:rPr>
          <w:rFonts w:ascii="Arial" w:eastAsia="Arial" w:hAnsi="Arial" w:cs="Arial"/>
          <w:b/>
          <w:bCs/>
          <w:sz w:val="28"/>
          <w:szCs w:val="28"/>
        </w:rPr>
        <w:t xml:space="preserve"> American Gambling Awards Regulator of the Year</w:t>
      </w:r>
    </w:p>
    <w:p w14:paraId="1E9532C6" w14:textId="77777777" w:rsidR="00F256FE" w:rsidRPr="0053173B" w:rsidRDefault="00F256FE" w:rsidP="00F256FE">
      <w:pPr>
        <w:spacing w:after="0" w:line="240" w:lineRule="auto"/>
        <w:jc w:val="center"/>
        <w:rPr>
          <w:rFonts w:ascii="Arial" w:eastAsia="Arial" w:hAnsi="Arial" w:cs="Arial"/>
          <w:b/>
          <w:bCs/>
          <w:sz w:val="28"/>
          <w:szCs w:val="28"/>
        </w:rPr>
      </w:pPr>
    </w:p>
    <w:p w14:paraId="2FC4F94A" w14:textId="120661E4" w:rsidR="002E2B7C" w:rsidRDefault="76D8F0D5" w:rsidP="00F256FE">
      <w:pPr>
        <w:spacing w:after="0" w:line="240" w:lineRule="auto"/>
        <w:jc w:val="both"/>
        <w:rPr>
          <w:rFonts w:ascii="Arial" w:eastAsia="Arial" w:hAnsi="Arial" w:cs="Arial"/>
          <w:sz w:val="22"/>
          <w:szCs w:val="22"/>
        </w:rPr>
      </w:pPr>
      <w:r w:rsidRPr="1F6E093F">
        <w:rPr>
          <w:rFonts w:ascii="Arial" w:eastAsia="Arial" w:hAnsi="Arial" w:cs="Arial"/>
          <w:b/>
          <w:bCs/>
          <w:sz w:val="22"/>
          <w:szCs w:val="22"/>
        </w:rPr>
        <w:t>Baton Rouge</w:t>
      </w:r>
      <w:r w:rsidR="48902B9B" w:rsidRPr="1F6E093F">
        <w:rPr>
          <w:rFonts w:ascii="Arial" w:eastAsia="Arial" w:hAnsi="Arial" w:cs="Arial"/>
          <w:b/>
          <w:bCs/>
          <w:sz w:val="22"/>
          <w:szCs w:val="22"/>
        </w:rPr>
        <w:t xml:space="preserve">, </w:t>
      </w:r>
      <w:r w:rsidR="600EB896" w:rsidRPr="1F6E093F">
        <w:rPr>
          <w:rFonts w:ascii="Arial" w:eastAsia="Arial" w:hAnsi="Arial" w:cs="Arial"/>
          <w:b/>
          <w:bCs/>
          <w:sz w:val="22"/>
          <w:szCs w:val="22"/>
        </w:rPr>
        <w:t>November 10</w:t>
      </w:r>
      <w:r w:rsidR="48902B9B" w:rsidRPr="1F6E093F">
        <w:rPr>
          <w:rFonts w:ascii="Arial" w:eastAsia="Arial" w:hAnsi="Arial" w:cs="Arial"/>
          <w:b/>
          <w:bCs/>
          <w:sz w:val="22"/>
          <w:szCs w:val="22"/>
        </w:rPr>
        <w:t>, 202</w:t>
      </w:r>
      <w:r w:rsidR="7D6F89FC" w:rsidRPr="1F6E093F">
        <w:rPr>
          <w:rFonts w:ascii="Arial" w:eastAsia="Arial" w:hAnsi="Arial" w:cs="Arial"/>
          <w:b/>
          <w:bCs/>
          <w:sz w:val="22"/>
          <w:szCs w:val="22"/>
        </w:rPr>
        <w:t>5</w:t>
      </w:r>
      <w:r w:rsidR="3A6FCE9F" w:rsidRPr="1F6E093F">
        <w:rPr>
          <w:rFonts w:ascii="Arial" w:eastAsia="Arial" w:hAnsi="Arial" w:cs="Arial"/>
          <w:b/>
          <w:bCs/>
          <w:sz w:val="22"/>
          <w:szCs w:val="22"/>
        </w:rPr>
        <w:t xml:space="preserve"> </w:t>
      </w:r>
      <w:r w:rsidR="3A6FCE9F" w:rsidRPr="1F6E093F">
        <w:rPr>
          <w:rFonts w:ascii="Arial" w:eastAsia="Arial" w:hAnsi="Arial" w:cs="Arial"/>
          <w:sz w:val="22"/>
          <w:szCs w:val="22"/>
        </w:rPr>
        <w:t>–</w:t>
      </w:r>
      <w:r w:rsidR="002E2B7C" w:rsidRPr="1F6E093F">
        <w:rPr>
          <w:rFonts w:ascii="Arial" w:eastAsia="Arial" w:hAnsi="Arial" w:cs="Arial"/>
          <w:sz w:val="22"/>
          <w:szCs w:val="22"/>
        </w:rPr>
        <w:t xml:space="preserve"> </w:t>
      </w:r>
      <w:r w:rsidR="37E5AD00" w:rsidRPr="1F6E093F">
        <w:rPr>
          <w:rFonts w:ascii="Arial" w:eastAsia="Arial" w:hAnsi="Arial" w:cs="Arial"/>
          <w:sz w:val="22"/>
          <w:szCs w:val="22"/>
        </w:rPr>
        <w:t>The Louisiana Gaming Control Board is proud to announce that Chairman Christopher Hebert has been named Regulator of the Year for the</w:t>
      </w:r>
      <w:r w:rsidR="002E2B7C" w:rsidRPr="1F6E093F">
        <w:rPr>
          <w:rFonts w:ascii="Arial" w:eastAsia="Arial" w:hAnsi="Arial" w:cs="Arial"/>
          <w:sz w:val="22"/>
          <w:szCs w:val="22"/>
        </w:rPr>
        <w:t xml:space="preserve"> </w:t>
      </w:r>
      <w:hyperlink r:id="rId8">
        <w:r w:rsidR="002E2B7C" w:rsidRPr="1F6E093F">
          <w:rPr>
            <w:rStyle w:val="Hyperlink"/>
            <w:rFonts w:ascii="Arial" w:eastAsia="Arial" w:hAnsi="Arial" w:cs="Arial"/>
            <w:sz w:val="22"/>
            <w:szCs w:val="22"/>
          </w:rPr>
          <w:t>202</w:t>
        </w:r>
        <w:r w:rsidR="18FED82F" w:rsidRPr="1F6E093F">
          <w:rPr>
            <w:rStyle w:val="Hyperlink"/>
            <w:rFonts w:ascii="Arial" w:eastAsia="Arial" w:hAnsi="Arial" w:cs="Arial"/>
            <w:sz w:val="22"/>
            <w:szCs w:val="22"/>
          </w:rPr>
          <w:t>5</w:t>
        </w:r>
        <w:r w:rsidR="002E2B7C" w:rsidRPr="1F6E093F">
          <w:rPr>
            <w:rStyle w:val="Hyperlink"/>
            <w:rFonts w:ascii="Arial" w:eastAsia="Arial" w:hAnsi="Arial" w:cs="Arial"/>
            <w:sz w:val="22"/>
            <w:szCs w:val="22"/>
          </w:rPr>
          <w:t xml:space="preserve"> American Gambling Awards</w:t>
        </w:r>
      </w:hyperlink>
      <w:r w:rsidR="002E2B7C" w:rsidRPr="1F6E093F">
        <w:rPr>
          <w:rFonts w:ascii="Arial" w:eastAsia="Arial" w:hAnsi="Arial" w:cs="Arial"/>
          <w:sz w:val="22"/>
          <w:szCs w:val="22"/>
        </w:rPr>
        <w:t xml:space="preserve">. </w:t>
      </w:r>
    </w:p>
    <w:p w14:paraId="026EE308" w14:textId="77777777" w:rsidR="00F256FE" w:rsidRPr="00A95A6D" w:rsidRDefault="00F256FE" w:rsidP="00F256FE">
      <w:pPr>
        <w:spacing w:after="0" w:line="240" w:lineRule="auto"/>
        <w:jc w:val="both"/>
        <w:rPr>
          <w:rFonts w:ascii="Arial" w:eastAsia="Arial" w:hAnsi="Arial" w:cs="Arial"/>
          <w:sz w:val="22"/>
          <w:szCs w:val="22"/>
        </w:rPr>
      </w:pPr>
    </w:p>
    <w:p w14:paraId="22B6ECFE" w14:textId="0DE795B9" w:rsidR="00F256FE" w:rsidRPr="00A95A6D" w:rsidRDefault="5B52EEEC" w:rsidP="00F256FE">
      <w:pPr>
        <w:spacing w:after="0" w:line="240" w:lineRule="auto"/>
        <w:jc w:val="both"/>
        <w:rPr>
          <w:rFonts w:ascii="Arial" w:eastAsia="Arial" w:hAnsi="Arial" w:cs="Arial"/>
          <w:sz w:val="22"/>
          <w:szCs w:val="22"/>
        </w:rPr>
      </w:pPr>
      <w:r w:rsidRPr="087502AA">
        <w:rPr>
          <w:rFonts w:ascii="Arial" w:eastAsia="Arial" w:hAnsi="Arial" w:cs="Arial"/>
          <w:sz w:val="22"/>
          <w:szCs w:val="22"/>
        </w:rPr>
        <w:t>The American Gambling Awards, produced by Gambling.com Group Limited (Nasdaq: GAMB) ("Gambling.com Group" or the "Group"), honor the top companies and executives shaping the regulated U.S. online gambling landscape and are recognized as a benchmark for excellence in the sector.</w:t>
      </w:r>
    </w:p>
    <w:p w14:paraId="4D00C921" w14:textId="67CE3829" w:rsidR="00F256FE" w:rsidRPr="00A95A6D" w:rsidRDefault="292E91EA" w:rsidP="087502AA">
      <w:pPr>
        <w:spacing w:before="240" w:after="240" w:line="240" w:lineRule="auto"/>
        <w:jc w:val="both"/>
        <w:rPr>
          <w:rFonts w:ascii="Arial" w:eastAsia="Arial" w:hAnsi="Arial" w:cs="Arial"/>
          <w:sz w:val="22"/>
          <w:szCs w:val="22"/>
        </w:rPr>
      </w:pPr>
      <w:r w:rsidRPr="087502AA">
        <w:rPr>
          <w:rFonts w:ascii="Arial" w:eastAsia="Arial" w:hAnsi="Arial" w:cs="Arial"/>
          <w:sz w:val="22"/>
          <w:szCs w:val="22"/>
        </w:rPr>
        <w:t>“I am honored to receive this recognition from the American Gambling Awards,” said Chairman Christopher Hebert of the Louisiana Gaming Control Board. “This award reflects the work of our entire team at the Board, who are committed to ensuring Louisiana’s gambling industry remains safe and transparent. By acting swiftly and decisively against illegal operators, we are preserving the integrity of the regulated market and supporting its vital contribution to the state’s economy.”</w:t>
      </w:r>
    </w:p>
    <w:p w14:paraId="3EA62199" w14:textId="30BB0BFF" w:rsidR="00F256FE" w:rsidRPr="00A95A6D" w:rsidRDefault="292E91EA" w:rsidP="087502AA">
      <w:pPr>
        <w:spacing w:before="240" w:after="240" w:line="240" w:lineRule="auto"/>
        <w:jc w:val="both"/>
      </w:pPr>
      <w:r w:rsidRPr="087502AA">
        <w:rPr>
          <w:rFonts w:ascii="Arial" w:eastAsia="Arial" w:hAnsi="Arial" w:cs="Arial"/>
          <w:sz w:val="22"/>
          <w:szCs w:val="22"/>
        </w:rPr>
        <w:t xml:space="preserve">Under Hebert’s leadership, the Louisiana Gaming Control Board has taken some of the most expansive enforcement actions of any state regulator, issuing more than 40 cease and desist letters to illegal online gambling operators believed to be transacting business in Louisiana. These actions followed Governor Jeff Landry’s veto of legislation targeting sweepstakes casinos, which emphasized the regulatory authority already vested in the Board. Hebert and the Board quickly exercised this authority judiciously to protect consumers and ensure that the legal market </w:t>
      </w:r>
      <w:proofErr w:type="gramStart"/>
      <w:r w:rsidRPr="087502AA">
        <w:rPr>
          <w:rFonts w:ascii="Arial" w:eastAsia="Arial" w:hAnsi="Arial" w:cs="Arial"/>
          <w:sz w:val="22"/>
          <w:szCs w:val="22"/>
        </w:rPr>
        <w:t>continues</w:t>
      </w:r>
      <w:proofErr w:type="gramEnd"/>
      <w:r w:rsidRPr="087502AA">
        <w:rPr>
          <w:rFonts w:ascii="Arial" w:eastAsia="Arial" w:hAnsi="Arial" w:cs="Arial"/>
          <w:sz w:val="22"/>
          <w:szCs w:val="22"/>
        </w:rPr>
        <w:t xml:space="preserve"> to thrive.</w:t>
      </w:r>
    </w:p>
    <w:p w14:paraId="549CABBB" w14:textId="33654C71" w:rsidR="00F256FE" w:rsidRPr="00A95A6D" w:rsidRDefault="292E91EA" w:rsidP="087502AA">
      <w:pPr>
        <w:spacing w:before="240" w:after="240"/>
        <w:jc w:val="both"/>
      </w:pPr>
      <w:r w:rsidRPr="3BF59A83">
        <w:rPr>
          <w:rFonts w:ascii="Arial" w:eastAsia="Arial" w:hAnsi="Arial" w:cs="Arial"/>
          <w:sz w:val="22"/>
          <w:szCs w:val="22"/>
        </w:rPr>
        <w:t>“</w:t>
      </w:r>
      <w:r w:rsidR="26FAE9D8" w:rsidRPr="3BF59A83">
        <w:rPr>
          <w:rFonts w:ascii="Arial" w:eastAsia="Arial" w:hAnsi="Arial" w:cs="Arial"/>
          <w:color w:val="000000" w:themeColor="text1"/>
          <w:sz w:val="22"/>
          <w:szCs w:val="22"/>
        </w:rPr>
        <w:t>Congratulations to Chairman Hebert on being named the 2025 American Gambling Awards Regulator of the Year,” said Charles Gillespie, Chief Executive Officer and co-founder of Gambling.com Group. “Louisiana’s gambling market is highly diverse and complex, yet Chairman Hebert and the Gaming Control Board have consistently set clear standards across the board. Their proactive leadership and commitment to safeguarding the regulated market provide a model for regulators nationwide as online gambling continues to grow across the U.S.</w:t>
      </w:r>
      <w:r w:rsidRPr="3BF59A83">
        <w:rPr>
          <w:rFonts w:ascii="Arial" w:eastAsia="Arial" w:hAnsi="Arial" w:cs="Arial"/>
          <w:sz w:val="22"/>
          <w:szCs w:val="22"/>
        </w:rPr>
        <w:t>”</w:t>
      </w:r>
    </w:p>
    <w:p w14:paraId="6C41828D" w14:textId="17CEBEFB" w:rsidR="00F256FE" w:rsidRPr="00A95A6D" w:rsidRDefault="292E91EA" w:rsidP="087502AA">
      <w:pPr>
        <w:spacing w:before="240" w:after="240" w:line="240" w:lineRule="auto"/>
        <w:jc w:val="both"/>
      </w:pPr>
      <w:r w:rsidRPr="087502AA">
        <w:rPr>
          <w:rFonts w:ascii="Arial" w:eastAsia="Arial" w:hAnsi="Arial" w:cs="Arial"/>
          <w:sz w:val="22"/>
          <w:szCs w:val="22"/>
        </w:rPr>
        <w:t>Louisiana’s gambling landscape features riverboat casinos, racetracks, video gaming, and a growing sports betting sector. Under Hebert’s guidance, the Board has drawn clear lines between operators who follow the law and those who do not, ensuring a safe, responsible, and regulated market that benefits consumers, advocates, and the state economy alike.</w:t>
      </w:r>
    </w:p>
    <w:p w14:paraId="0D844C4A" w14:textId="2AD709CD" w:rsidR="002E2B7C" w:rsidRPr="00A95A6D" w:rsidRDefault="002E2B7C" w:rsidP="00F256FE">
      <w:pPr>
        <w:spacing w:after="0" w:line="240" w:lineRule="auto"/>
        <w:jc w:val="center"/>
        <w:rPr>
          <w:rFonts w:ascii="Arial" w:hAnsi="Arial" w:cs="Arial"/>
          <w:sz w:val="22"/>
          <w:szCs w:val="22"/>
        </w:rPr>
      </w:pPr>
      <w:r w:rsidRPr="00A95A6D">
        <w:rPr>
          <w:rFonts w:ascii="Arial" w:hAnsi="Arial" w:cs="Arial"/>
          <w:sz w:val="22"/>
          <w:szCs w:val="22"/>
        </w:rPr>
        <w:t>##</w:t>
      </w:r>
    </w:p>
    <w:p w14:paraId="276F5F78" w14:textId="77777777" w:rsidR="002E2B7C" w:rsidRPr="00A95A6D" w:rsidRDefault="002E2B7C" w:rsidP="00A95A6D">
      <w:pPr>
        <w:autoSpaceDE w:val="0"/>
        <w:autoSpaceDN w:val="0"/>
        <w:adjustRightInd w:val="0"/>
        <w:spacing w:after="0" w:line="240" w:lineRule="auto"/>
        <w:jc w:val="both"/>
        <w:rPr>
          <w:rFonts w:ascii="Arial" w:hAnsi="Arial" w:cs="Arial"/>
          <w:b/>
          <w:bCs/>
          <w:kern w:val="0"/>
          <w:sz w:val="22"/>
          <w:szCs w:val="22"/>
        </w:rPr>
      </w:pPr>
    </w:p>
    <w:p w14:paraId="21B948D2" w14:textId="4CB74871" w:rsidR="002E2B7C" w:rsidRPr="00D513AB" w:rsidRDefault="002E2B7C" w:rsidP="00C27EEF">
      <w:pPr>
        <w:spacing w:after="0" w:line="240" w:lineRule="auto"/>
        <w:jc w:val="both"/>
        <w:rPr>
          <w:rFonts w:ascii="Arial" w:hAnsi="Arial" w:cs="Arial"/>
          <w:bCs/>
          <w:sz w:val="22"/>
          <w:szCs w:val="22"/>
        </w:rPr>
      </w:pPr>
      <w:bookmarkStart w:id="0" w:name="_GoBack"/>
      <w:bookmarkEnd w:id="0"/>
      <w:r w:rsidRPr="00A95A6D">
        <w:rPr>
          <w:rFonts w:ascii="Arial" w:hAnsi="Arial" w:cs="Arial"/>
          <w:b/>
          <w:sz w:val="22"/>
          <w:szCs w:val="22"/>
        </w:rPr>
        <w:t xml:space="preserve">For further information, please contact: </w:t>
      </w:r>
      <w:r w:rsidRPr="00A95A6D">
        <w:rPr>
          <w:rFonts w:ascii="Arial" w:hAnsi="Arial" w:cs="Arial"/>
          <w:sz w:val="22"/>
          <w:szCs w:val="22"/>
        </w:rPr>
        <w:t xml:space="preserve">Christine Doh, Gambling.com Group, </w:t>
      </w:r>
      <w:hyperlink r:id="rId9">
        <w:r w:rsidRPr="00A95A6D">
          <w:rPr>
            <w:rStyle w:val="Hyperlink"/>
            <w:rFonts w:ascii="Arial" w:hAnsi="Arial" w:cs="Arial"/>
            <w:color w:val="auto"/>
            <w:sz w:val="22"/>
            <w:szCs w:val="22"/>
          </w:rPr>
          <w:t>media@gdcgroup.com</w:t>
        </w:r>
      </w:hyperlink>
      <w:r w:rsidRPr="03A49E7E">
        <w:rPr>
          <w:rFonts w:ascii="Arial" w:hAnsi="Arial" w:cs="Arial"/>
          <w:sz w:val="22"/>
          <w:szCs w:val="22"/>
        </w:rPr>
        <w:t xml:space="preserve"> </w:t>
      </w:r>
    </w:p>
    <w:p w14:paraId="01F1FFCE" w14:textId="77777777" w:rsidR="0036271A" w:rsidRDefault="0036271A" w:rsidP="002E2B7C">
      <w:pPr>
        <w:autoSpaceDE w:val="0"/>
        <w:autoSpaceDN w:val="0"/>
        <w:adjustRightInd w:val="0"/>
        <w:spacing w:after="0" w:line="240" w:lineRule="auto"/>
        <w:jc w:val="both"/>
        <w:rPr>
          <w:rFonts w:ascii="Arial" w:hAnsi="Arial" w:cs="Arial"/>
          <w:b/>
          <w:bCs/>
          <w:kern w:val="0"/>
          <w:sz w:val="18"/>
          <w:szCs w:val="18"/>
        </w:rPr>
      </w:pPr>
    </w:p>
    <w:p w14:paraId="7A7771C9" w14:textId="72520C98" w:rsidR="002E2B7C" w:rsidRPr="001B739F" w:rsidRDefault="002E2B7C" w:rsidP="002E2B7C">
      <w:pPr>
        <w:autoSpaceDE w:val="0"/>
        <w:autoSpaceDN w:val="0"/>
        <w:adjustRightInd w:val="0"/>
        <w:spacing w:after="0" w:line="240" w:lineRule="auto"/>
        <w:jc w:val="both"/>
        <w:rPr>
          <w:rFonts w:ascii="Arial" w:hAnsi="Arial" w:cs="Arial"/>
          <w:kern w:val="0"/>
          <w:sz w:val="18"/>
          <w:szCs w:val="18"/>
        </w:rPr>
      </w:pPr>
      <w:r w:rsidRPr="001B739F">
        <w:rPr>
          <w:rFonts w:ascii="Arial" w:hAnsi="Arial" w:cs="Arial"/>
          <w:b/>
          <w:bCs/>
          <w:kern w:val="0"/>
          <w:sz w:val="18"/>
          <w:szCs w:val="18"/>
        </w:rPr>
        <w:t>About Gambling.com Group Limited</w:t>
      </w:r>
    </w:p>
    <w:p w14:paraId="3F1EDA8F" w14:textId="72817F9B" w:rsidR="660AFB3E" w:rsidRDefault="660AFB3E" w:rsidP="087502AA">
      <w:pPr>
        <w:spacing w:after="0" w:line="240" w:lineRule="auto"/>
        <w:jc w:val="both"/>
        <w:rPr>
          <w:rFonts w:ascii="Arial" w:eastAsia="Arial" w:hAnsi="Arial" w:cs="Arial"/>
          <w:color w:val="000000" w:themeColor="text1"/>
          <w:sz w:val="18"/>
          <w:szCs w:val="18"/>
        </w:rPr>
      </w:pPr>
      <w:r w:rsidRPr="087502AA">
        <w:rPr>
          <w:rFonts w:ascii="Arial" w:eastAsia="Arial" w:hAnsi="Arial" w:cs="Arial"/>
          <w:color w:val="000000" w:themeColor="text1"/>
          <w:sz w:val="18"/>
          <w:szCs w:val="18"/>
        </w:rPr>
        <w:t>Gambling.com Group Limited (</w:t>
      </w:r>
      <w:proofErr w:type="gramStart"/>
      <w:r w:rsidRPr="087502AA">
        <w:rPr>
          <w:rFonts w:ascii="Arial" w:eastAsia="Arial" w:hAnsi="Arial" w:cs="Arial"/>
          <w:color w:val="000000" w:themeColor="text1"/>
          <w:sz w:val="18"/>
          <w:szCs w:val="18"/>
        </w:rPr>
        <w:t>Nasdaq</w:t>
      </w:r>
      <w:proofErr w:type="gramEnd"/>
      <w:r w:rsidRPr="087502AA">
        <w:rPr>
          <w:rFonts w:ascii="Arial" w:eastAsia="Arial" w:hAnsi="Arial" w:cs="Arial"/>
          <w:color w:val="000000" w:themeColor="text1"/>
          <w:sz w:val="18"/>
          <w:szCs w:val="18"/>
        </w:rPr>
        <w:t xml:space="preserve">: GAMB) (the “Group”) is a fast-growing provider of marketing and sports data services for the global online gambling industry. Founded in 2006, the Group operates globally, primarily from offices in the United States and Ireland. The Group helps online gambling operators, including for iGaming and sports betting, acquire new customers in 19 national markets across more than ten languages through a portfolio of premier branded websites including Gambling.com, Bookies.com, and Casinos.com. Under </w:t>
      </w:r>
      <w:proofErr w:type="spellStart"/>
      <w:r w:rsidRPr="087502AA">
        <w:rPr>
          <w:rFonts w:ascii="Arial" w:eastAsia="Arial" w:hAnsi="Arial" w:cs="Arial"/>
          <w:color w:val="000000" w:themeColor="text1"/>
          <w:sz w:val="18"/>
          <w:szCs w:val="18"/>
        </w:rPr>
        <w:t>OddsJam</w:t>
      </w:r>
      <w:proofErr w:type="spellEnd"/>
      <w:r w:rsidRPr="087502AA">
        <w:rPr>
          <w:rFonts w:ascii="Arial" w:eastAsia="Arial" w:hAnsi="Arial" w:cs="Arial"/>
          <w:color w:val="000000" w:themeColor="text1"/>
          <w:sz w:val="18"/>
          <w:szCs w:val="18"/>
        </w:rPr>
        <w:t xml:space="preserve">, </w:t>
      </w:r>
      <w:proofErr w:type="spellStart"/>
      <w:r w:rsidRPr="087502AA">
        <w:rPr>
          <w:rFonts w:ascii="Arial" w:eastAsia="Arial" w:hAnsi="Arial" w:cs="Arial"/>
          <w:color w:val="000000" w:themeColor="text1"/>
          <w:sz w:val="18"/>
          <w:szCs w:val="18"/>
        </w:rPr>
        <w:t>OpticOdds</w:t>
      </w:r>
      <w:proofErr w:type="spellEnd"/>
      <w:r w:rsidRPr="087502AA">
        <w:rPr>
          <w:rFonts w:ascii="Arial" w:eastAsia="Arial" w:hAnsi="Arial" w:cs="Arial"/>
          <w:color w:val="000000" w:themeColor="text1"/>
          <w:sz w:val="18"/>
          <w:szCs w:val="18"/>
        </w:rPr>
        <w:t xml:space="preserve"> and </w:t>
      </w:r>
      <w:proofErr w:type="spellStart"/>
      <w:r w:rsidRPr="087502AA">
        <w:rPr>
          <w:rFonts w:ascii="Arial" w:eastAsia="Arial" w:hAnsi="Arial" w:cs="Arial"/>
          <w:color w:val="000000" w:themeColor="text1"/>
          <w:sz w:val="18"/>
          <w:szCs w:val="18"/>
        </w:rPr>
        <w:t>RotoWire</w:t>
      </w:r>
      <w:proofErr w:type="spellEnd"/>
      <w:r w:rsidRPr="087502AA">
        <w:rPr>
          <w:rFonts w:ascii="Arial" w:eastAsia="Arial" w:hAnsi="Arial" w:cs="Arial"/>
          <w:color w:val="000000" w:themeColor="text1"/>
          <w:sz w:val="18"/>
          <w:szCs w:val="18"/>
        </w:rPr>
        <w:t xml:space="preserve"> brands, the Group's sports data services assist consumers and power enterprises to succeed in sports betting and fantasy sports.</w:t>
      </w:r>
    </w:p>
    <w:p w14:paraId="5479456C" w14:textId="702DAC60" w:rsidR="087502AA" w:rsidRDefault="087502AA" w:rsidP="087502AA">
      <w:pPr>
        <w:spacing w:after="0" w:line="240" w:lineRule="auto"/>
        <w:jc w:val="both"/>
        <w:rPr>
          <w:rFonts w:ascii="Arial" w:hAnsi="Arial" w:cs="Arial"/>
          <w:sz w:val="18"/>
          <w:szCs w:val="18"/>
        </w:rPr>
      </w:pPr>
    </w:p>
    <w:p w14:paraId="06B94B02" w14:textId="77777777" w:rsidR="002E2B7C" w:rsidRPr="004163FA" w:rsidRDefault="002E2B7C" w:rsidP="002E2B7C">
      <w:pPr>
        <w:autoSpaceDE w:val="0"/>
        <w:autoSpaceDN w:val="0"/>
        <w:adjustRightInd w:val="0"/>
        <w:spacing w:after="0" w:line="240" w:lineRule="auto"/>
        <w:jc w:val="both"/>
        <w:rPr>
          <w:rFonts w:ascii="Arial" w:hAnsi="Arial" w:cs="Arial"/>
          <w:kern w:val="0"/>
          <w:sz w:val="20"/>
          <w:szCs w:val="20"/>
        </w:rPr>
      </w:pPr>
    </w:p>
    <w:p w14:paraId="0D7F3F21" w14:textId="77777777" w:rsidR="002E2B7C" w:rsidRPr="002F6482" w:rsidRDefault="002E2B7C" w:rsidP="002E2B7C">
      <w:pPr>
        <w:shd w:val="clear" w:color="auto" w:fill="FEFEFE"/>
        <w:spacing w:after="360" w:line="240" w:lineRule="auto"/>
        <w:jc w:val="both"/>
        <w:rPr>
          <w:rFonts w:eastAsia="Times New Roman" w:cs="Times New Roman"/>
          <w:color w:val="444444"/>
          <w:kern w:val="0"/>
          <w:sz w:val="22"/>
          <w:szCs w:val="22"/>
          <w14:ligatures w14:val="none"/>
        </w:rPr>
      </w:pPr>
    </w:p>
    <w:p w14:paraId="65A59FB1" w14:textId="77777777" w:rsidR="002E2B7C" w:rsidRDefault="002E2B7C" w:rsidP="002E2B7C"/>
    <w:p w14:paraId="1DEC26D0" w14:textId="77777777" w:rsidR="002E2B7C" w:rsidRDefault="002E2B7C" w:rsidP="002E2B7C"/>
    <w:p w14:paraId="0799C76B" w14:textId="77777777" w:rsidR="002E2B7C" w:rsidRDefault="002E2B7C" w:rsidP="002E2B7C"/>
    <w:p w14:paraId="3183FCC8" w14:textId="77777777" w:rsidR="002E2B7C" w:rsidRDefault="002E2B7C" w:rsidP="002E2B7C"/>
    <w:p w14:paraId="2F85653D" w14:textId="77777777" w:rsidR="002E2B7C" w:rsidRDefault="002E2B7C" w:rsidP="002E2B7C"/>
    <w:p w14:paraId="412736FF" w14:textId="77777777" w:rsidR="00C2029D" w:rsidRDefault="00C2029D"/>
    <w:sectPr w:rsidR="00C20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7C"/>
    <w:rsid w:val="00082E5F"/>
    <w:rsid w:val="000D512A"/>
    <w:rsid w:val="00151F23"/>
    <w:rsid w:val="002E2B7C"/>
    <w:rsid w:val="003450FD"/>
    <w:rsid w:val="0036271A"/>
    <w:rsid w:val="006679EE"/>
    <w:rsid w:val="00801C8B"/>
    <w:rsid w:val="00A95A6D"/>
    <w:rsid w:val="00AD64E0"/>
    <w:rsid w:val="00C2029D"/>
    <w:rsid w:val="00C27EEF"/>
    <w:rsid w:val="00D706BE"/>
    <w:rsid w:val="00E35BDA"/>
    <w:rsid w:val="00E60AC6"/>
    <w:rsid w:val="00E8713C"/>
    <w:rsid w:val="00F256FE"/>
    <w:rsid w:val="0161A782"/>
    <w:rsid w:val="03A49E7E"/>
    <w:rsid w:val="04BFECED"/>
    <w:rsid w:val="087502AA"/>
    <w:rsid w:val="0905409E"/>
    <w:rsid w:val="0BC34926"/>
    <w:rsid w:val="0BD8F7A5"/>
    <w:rsid w:val="0CEEFB72"/>
    <w:rsid w:val="0D2FFFC0"/>
    <w:rsid w:val="0EFC3713"/>
    <w:rsid w:val="1223B848"/>
    <w:rsid w:val="1427CD1D"/>
    <w:rsid w:val="18FED82F"/>
    <w:rsid w:val="1F6E093F"/>
    <w:rsid w:val="2060D724"/>
    <w:rsid w:val="26FAE9D8"/>
    <w:rsid w:val="281F261E"/>
    <w:rsid w:val="292E91EA"/>
    <w:rsid w:val="29794A87"/>
    <w:rsid w:val="29A75682"/>
    <w:rsid w:val="29AC0C73"/>
    <w:rsid w:val="2AA951E1"/>
    <w:rsid w:val="2B16AB63"/>
    <w:rsid w:val="2BEC0BB9"/>
    <w:rsid w:val="2C614DBA"/>
    <w:rsid w:val="37E5AD00"/>
    <w:rsid w:val="3A6FCE9F"/>
    <w:rsid w:val="3BBD7976"/>
    <w:rsid w:val="3BF59A83"/>
    <w:rsid w:val="3E3FF29C"/>
    <w:rsid w:val="40479663"/>
    <w:rsid w:val="4297C18F"/>
    <w:rsid w:val="43869906"/>
    <w:rsid w:val="457538E1"/>
    <w:rsid w:val="45FA2725"/>
    <w:rsid w:val="45FBD326"/>
    <w:rsid w:val="48902B9B"/>
    <w:rsid w:val="52288055"/>
    <w:rsid w:val="5315BA42"/>
    <w:rsid w:val="53800F72"/>
    <w:rsid w:val="55F3632A"/>
    <w:rsid w:val="55F3780B"/>
    <w:rsid w:val="5B25631A"/>
    <w:rsid w:val="5B52EEEC"/>
    <w:rsid w:val="5D3B9CE6"/>
    <w:rsid w:val="5F14F249"/>
    <w:rsid w:val="5F2C2E1B"/>
    <w:rsid w:val="600EB896"/>
    <w:rsid w:val="6502081D"/>
    <w:rsid w:val="651C3811"/>
    <w:rsid w:val="660AFB3E"/>
    <w:rsid w:val="67D7B817"/>
    <w:rsid w:val="681BA5BD"/>
    <w:rsid w:val="69302E87"/>
    <w:rsid w:val="6C14CE95"/>
    <w:rsid w:val="6F98CDA0"/>
    <w:rsid w:val="71B0E82A"/>
    <w:rsid w:val="73E435C4"/>
    <w:rsid w:val="751639AA"/>
    <w:rsid w:val="7570963E"/>
    <w:rsid w:val="7578EEEC"/>
    <w:rsid w:val="76D8F0D5"/>
    <w:rsid w:val="7AC9FE90"/>
    <w:rsid w:val="7CD9C790"/>
    <w:rsid w:val="7D6F89FC"/>
    <w:rsid w:val="7D712BAC"/>
    <w:rsid w:val="7EC562E3"/>
    <w:rsid w:val="7F23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64FEF"/>
  <w15:chartTrackingRefBased/>
  <w15:docId w15:val="{5F82FCE5-23E8-A344-B387-2B413378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B7C"/>
  </w:style>
  <w:style w:type="paragraph" w:styleId="Heading1">
    <w:name w:val="heading 1"/>
    <w:basedOn w:val="Normal"/>
    <w:next w:val="Normal"/>
    <w:link w:val="Heading1Char"/>
    <w:uiPriority w:val="9"/>
    <w:qFormat/>
    <w:rsid w:val="002E2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B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B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B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B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B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B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B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B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B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B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B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B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B7C"/>
    <w:rPr>
      <w:rFonts w:eastAsiaTheme="majorEastAsia" w:cstheme="majorBidi"/>
      <w:color w:val="272727" w:themeColor="text1" w:themeTint="D8"/>
    </w:rPr>
  </w:style>
  <w:style w:type="paragraph" w:styleId="Title">
    <w:name w:val="Title"/>
    <w:basedOn w:val="Normal"/>
    <w:next w:val="Normal"/>
    <w:link w:val="TitleChar"/>
    <w:uiPriority w:val="10"/>
    <w:qFormat/>
    <w:rsid w:val="002E2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B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B7C"/>
    <w:pPr>
      <w:spacing w:before="160"/>
      <w:jc w:val="center"/>
    </w:pPr>
    <w:rPr>
      <w:i/>
      <w:iCs/>
      <w:color w:val="404040" w:themeColor="text1" w:themeTint="BF"/>
    </w:rPr>
  </w:style>
  <w:style w:type="character" w:customStyle="1" w:styleId="QuoteChar">
    <w:name w:val="Quote Char"/>
    <w:basedOn w:val="DefaultParagraphFont"/>
    <w:link w:val="Quote"/>
    <w:uiPriority w:val="29"/>
    <w:rsid w:val="002E2B7C"/>
    <w:rPr>
      <w:i/>
      <w:iCs/>
      <w:color w:val="404040" w:themeColor="text1" w:themeTint="BF"/>
    </w:rPr>
  </w:style>
  <w:style w:type="paragraph" w:styleId="ListParagraph">
    <w:name w:val="List Paragraph"/>
    <w:basedOn w:val="Normal"/>
    <w:uiPriority w:val="34"/>
    <w:qFormat/>
    <w:rsid w:val="002E2B7C"/>
    <w:pPr>
      <w:ind w:left="720"/>
      <w:contextualSpacing/>
    </w:pPr>
  </w:style>
  <w:style w:type="character" w:styleId="IntenseEmphasis">
    <w:name w:val="Intense Emphasis"/>
    <w:basedOn w:val="DefaultParagraphFont"/>
    <w:uiPriority w:val="21"/>
    <w:qFormat/>
    <w:rsid w:val="002E2B7C"/>
    <w:rPr>
      <w:i/>
      <w:iCs/>
      <w:color w:val="0F4761" w:themeColor="accent1" w:themeShade="BF"/>
    </w:rPr>
  </w:style>
  <w:style w:type="paragraph" w:styleId="IntenseQuote">
    <w:name w:val="Intense Quote"/>
    <w:basedOn w:val="Normal"/>
    <w:next w:val="Normal"/>
    <w:link w:val="IntenseQuoteChar"/>
    <w:uiPriority w:val="30"/>
    <w:qFormat/>
    <w:rsid w:val="002E2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B7C"/>
    <w:rPr>
      <w:i/>
      <w:iCs/>
      <w:color w:val="0F4761" w:themeColor="accent1" w:themeShade="BF"/>
    </w:rPr>
  </w:style>
  <w:style w:type="character" w:styleId="IntenseReference">
    <w:name w:val="Intense Reference"/>
    <w:basedOn w:val="DefaultParagraphFont"/>
    <w:uiPriority w:val="32"/>
    <w:qFormat/>
    <w:rsid w:val="002E2B7C"/>
    <w:rPr>
      <w:b/>
      <w:bCs/>
      <w:smallCaps/>
      <w:color w:val="0F4761" w:themeColor="accent1" w:themeShade="BF"/>
      <w:spacing w:val="5"/>
    </w:rPr>
  </w:style>
  <w:style w:type="character" w:styleId="CommentReference">
    <w:name w:val="annotation reference"/>
    <w:basedOn w:val="DefaultParagraphFont"/>
    <w:uiPriority w:val="99"/>
    <w:semiHidden/>
    <w:unhideWhenUsed/>
    <w:rsid w:val="002E2B7C"/>
    <w:rPr>
      <w:sz w:val="16"/>
      <w:szCs w:val="16"/>
    </w:rPr>
  </w:style>
  <w:style w:type="character" w:styleId="Hyperlink">
    <w:name w:val="Hyperlink"/>
    <w:basedOn w:val="DefaultParagraphFont"/>
    <w:uiPriority w:val="99"/>
    <w:unhideWhenUsed/>
    <w:rsid w:val="002E2B7C"/>
    <w:rPr>
      <w:color w:val="0000FF"/>
      <w:u w:val="single"/>
    </w:rPr>
  </w:style>
  <w:style w:type="paragraph" w:styleId="CommentText">
    <w:name w:val="annotation text"/>
    <w:basedOn w:val="Normal"/>
    <w:link w:val="CommentTextChar"/>
    <w:uiPriority w:val="99"/>
    <w:semiHidden/>
    <w:unhideWhenUsed/>
    <w:rsid w:val="00801C8B"/>
    <w:pPr>
      <w:spacing w:line="240" w:lineRule="auto"/>
    </w:pPr>
    <w:rPr>
      <w:sz w:val="20"/>
      <w:szCs w:val="20"/>
    </w:rPr>
  </w:style>
  <w:style w:type="character" w:customStyle="1" w:styleId="CommentTextChar">
    <w:name w:val="Comment Text Char"/>
    <w:basedOn w:val="DefaultParagraphFont"/>
    <w:link w:val="CommentText"/>
    <w:uiPriority w:val="99"/>
    <w:semiHidden/>
    <w:rsid w:val="00801C8B"/>
    <w:rPr>
      <w:sz w:val="20"/>
      <w:szCs w:val="20"/>
    </w:rPr>
  </w:style>
  <w:style w:type="paragraph" w:styleId="CommentSubject">
    <w:name w:val="annotation subject"/>
    <w:basedOn w:val="CommentText"/>
    <w:next w:val="CommentText"/>
    <w:link w:val="CommentSubjectChar"/>
    <w:uiPriority w:val="99"/>
    <w:semiHidden/>
    <w:unhideWhenUsed/>
    <w:rsid w:val="00801C8B"/>
    <w:rPr>
      <w:b/>
      <w:bCs/>
    </w:rPr>
  </w:style>
  <w:style w:type="character" w:customStyle="1" w:styleId="CommentSubjectChar">
    <w:name w:val="Comment Subject Char"/>
    <w:basedOn w:val="CommentTextChar"/>
    <w:link w:val="CommentSubject"/>
    <w:uiPriority w:val="99"/>
    <w:semiHidden/>
    <w:rsid w:val="00801C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mbling.com/us/awards"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edia@gdc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A3182D9AC95469D5385B8E94D3CB4" ma:contentTypeVersion="18" ma:contentTypeDescription="Create a new document." ma:contentTypeScope="" ma:versionID="1b0a36a32814b832219b039bc968d0da">
  <xsd:schema xmlns:xsd="http://www.w3.org/2001/XMLSchema" xmlns:xs="http://www.w3.org/2001/XMLSchema" xmlns:p="http://schemas.microsoft.com/office/2006/metadata/properties" xmlns:ns2="cb907dfe-b974-4ab3-b8a1-421c71e7a1b9" xmlns:ns3="fb992e2f-0293-4c02-9d2c-9f4df2837ef9" targetNamespace="http://schemas.microsoft.com/office/2006/metadata/properties" ma:root="true" ma:fieldsID="889403d28b8deb47c11ec7dbbe6ab124" ns2:_="" ns3:_="">
    <xsd:import namespace="cb907dfe-b974-4ab3-b8a1-421c71e7a1b9"/>
    <xsd:import namespace="fb992e2f-0293-4c02-9d2c-9f4df2837e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07dfe-b974-4ab3-b8a1-421c71e7a1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8b6a72-6081-4770-b988-b5fcb4b684b9}" ma:internalName="TaxCatchAll" ma:showField="CatchAllData" ma:web="cb907dfe-b974-4ab3-b8a1-421c71e7a1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992e2f-0293-4c02-9d2c-9f4df2837e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113f4c-df0b-4d54-b33f-873151d1a16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07dfe-b974-4ab3-b8a1-421c71e7a1b9" xsi:nil="true"/>
    <lcf76f155ced4ddcb4097134ff3c332f xmlns="fb992e2f-0293-4c02-9d2c-9f4df2837e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2A176-F309-4357-A6E0-A75512594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07dfe-b974-4ab3-b8a1-421c71e7a1b9"/>
    <ds:schemaRef ds:uri="fb992e2f-0293-4c02-9d2c-9f4df2837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24DA5-223F-4802-A2AB-5A30BD0A5EFC}">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fb992e2f-0293-4c02-9d2c-9f4df2837ef9"/>
    <ds:schemaRef ds:uri="cb907dfe-b974-4ab3-b8a1-421c71e7a1b9"/>
    <ds:schemaRef ds:uri="http://www.w3.org/XML/1998/namespace"/>
    <ds:schemaRef ds:uri="http://purl.org/dc/dcmitype/"/>
  </ds:schemaRefs>
</ds:datastoreItem>
</file>

<file path=customXml/itemProps3.xml><?xml version="1.0" encoding="utf-8"?>
<ds:datastoreItem xmlns:ds="http://schemas.openxmlformats.org/officeDocument/2006/customXml" ds:itemID="{08A8F322-C644-437B-A3EA-94403F13A9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3039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Doh</dc:creator>
  <cp:keywords/>
  <dc:description/>
  <cp:lastModifiedBy>Chris Hebert (DPS)</cp:lastModifiedBy>
  <cp:revision>2</cp:revision>
  <dcterms:created xsi:type="dcterms:W3CDTF">2025-11-03T22:40:00Z</dcterms:created>
  <dcterms:modified xsi:type="dcterms:W3CDTF">2025-11-03T22:40:00Z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0x010100611A3182D9AC95469D5385B8E94D3CB4</vt:lpwstr>
  </property>
  <property fmtid="{D5CDD505-2E9C-101B-9397-08002B2CF9AE}" pid="3" name="MediaServiceImageTags">
    <vt:lpwstr/>
  </property>
  <property fmtid="{D5CDD505-2E9C-101B-9397-08002B2CF9AE}" pid="4" name="MSIP_Label_d5797256-cf3a-4d27-bf7e-bad9742c8161_Enabled">
    <vt:lpwstr>true</vt:lpwstr>
  </property>
  <property fmtid="{D5CDD505-2E9C-101B-9397-08002B2CF9AE}" pid="5" name="MSIP_Label_d5797256-cf3a-4d27-bf7e-bad9742c8161_SetDate">
    <vt:lpwstr>2024-10-04T20:05:07Z</vt:lpwstr>
  </property>
  <property fmtid="{D5CDD505-2E9C-101B-9397-08002B2CF9AE}" pid="6" name="MSIP_Label_d5797256-cf3a-4d27-bf7e-bad9742c8161_Method">
    <vt:lpwstr>Privileged</vt:lpwstr>
  </property>
  <property fmtid="{D5CDD505-2E9C-101B-9397-08002B2CF9AE}" pid="7" name="MSIP_Label_d5797256-cf3a-4d27-bf7e-bad9742c8161_Name">
    <vt:lpwstr>Public</vt:lpwstr>
  </property>
  <property fmtid="{D5CDD505-2E9C-101B-9397-08002B2CF9AE}" pid="8" name="MSIP_Label_d5797256-cf3a-4d27-bf7e-bad9742c8161_SiteId">
    <vt:lpwstr>52c3448d-59b9-4e94-8fd9-d97a2128c819</vt:lpwstr>
  </property>
  <property fmtid="{D5CDD505-2E9C-101B-9397-08002B2CF9AE}" pid="9" name="MSIP_Label_d5797256-cf3a-4d27-bf7e-bad9742c8161_ActionId">
    <vt:lpwstr>7f027d71-e85c-4837-91d5-a5eb4ea407c6</vt:lpwstr>
  </property>
  <property fmtid="{D5CDD505-2E9C-101B-9397-08002B2CF9AE}" pid="10" name="MSIP_Label_d5797256-cf3a-4d27-bf7e-bad9742c8161_ContentBits">
    <vt:lpwstr>0</vt:lpwstr>
  </property>
</Properties>
</file>